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7E177E81"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B8281F">
        <w:rPr>
          <w:rFonts w:asciiTheme="minorHAnsi" w:hAnsiTheme="minorHAnsi" w:cstheme="minorHAnsi"/>
          <w:b/>
          <w:bCs/>
          <w:sz w:val="28"/>
          <w:szCs w:val="28"/>
        </w:rPr>
        <w:t>06</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B8281F">
        <w:rPr>
          <w:rFonts w:asciiTheme="minorHAnsi" w:hAnsiTheme="minorHAnsi" w:cstheme="minorHAnsi"/>
          <w:b/>
          <w:bCs/>
          <w:sz w:val="28"/>
          <w:szCs w:val="28"/>
        </w:rPr>
        <w:t>9</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A868A4">
      <w:pPr>
        <w:pStyle w:val="Sangradetextonormal"/>
        <w:numPr>
          <w:ilvl w:val="1"/>
          <w:numId w:val="9"/>
        </w:numPr>
        <w:tabs>
          <w:tab w:val="left" w:pos="360"/>
        </w:tabs>
        <w:ind w:left="709"/>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0478ADD5"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2207D1">
        <w:rPr>
          <w:rFonts w:asciiTheme="minorHAnsi" w:hAnsiTheme="minorHAnsi" w:cstheme="minorHAnsi"/>
          <w:sz w:val="22"/>
          <w:szCs w:val="22"/>
        </w:rPr>
        <w:t>30</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8.2021</w:t>
      </w:r>
      <w:r w:rsidRPr="00271C1D">
        <w:rPr>
          <w:rFonts w:asciiTheme="minorHAnsi" w:hAnsiTheme="minorHAnsi" w:cstheme="minorHAnsi"/>
          <w:sz w:val="22"/>
          <w:szCs w:val="22"/>
        </w:rPr>
        <w:t xml:space="preserve"> al </w:t>
      </w:r>
      <w:r w:rsidR="002207D1">
        <w:rPr>
          <w:rFonts w:asciiTheme="minorHAnsi" w:hAnsiTheme="minorHAnsi" w:cstheme="minorHAnsi"/>
          <w:sz w:val="22"/>
          <w:szCs w:val="22"/>
        </w:rPr>
        <w:t>03</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207D1">
        <w:rPr>
          <w:rFonts w:asciiTheme="minorHAnsi" w:hAnsiTheme="minorHAnsi" w:cstheme="minorHAnsi"/>
          <w:sz w:val="22"/>
          <w:szCs w:val="22"/>
        </w:rPr>
        <w:t>9</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C926FB">
        <w:rPr>
          <w:rFonts w:asciiTheme="minorHAnsi" w:hAnsiTheme="minorHAnsi" w:cstheme="minorHAnsi"/>
          <w:sz w:val="22"/>
          <w:szCs w:val="22"/>
        </w:rPr>
        <w:t>75.11</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59697B">
        <w:rPr>
          <w:rFonts w:asciiTheme="minorHAnsi" w:hAnsiTheme="minorHAnsi" w:cstheme="minorHAnsi"/>
          <w:sz w:val="22"/>
          <w:szCs w:val="22"/>
        </w:rPr>
        <w:t>aumenta</w:t>
      </w:r>
      <w:r w:rsidR="00706F37">
        <w:rPr>
          <w:rFonts w:asciiTheme="minorHAnsi" w:hAnsiTheme="minorHAnsi" w:cstheme="minorHAnsi"/>
          <w:sz w:val="22"/>
          <w:szCs w:val="22"/>
        </w:rPr>
        <w:t xml:space="preserve">ndo en </w:t>
      </w:r>
      <w:r w:rsidR="002207D1">
        <w:rPr>
          <w:rFonts w:asciiTheme="minorHAnsi" w:hAnsiTheme="minorHAnsi" w:cstheme="minorHAnsi"/>
          <w:sz w:val="22"/>
          <w:szCs w:val="22"/>
        </w:rPr>
        <w:t>3.03</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2207D1">
        <w:rPr>
          <w:rFonts w:asciiTheme="minorHAnsi" w:hAnsiTheme="minorHAnsi" w:cstheme="minorHAnsi"/>
          <w:sz w:val="22"/>
          <w:szCs w:val="22"/>
        </w:rPr>
        <w:t>4.21</w:t>
      </w:r>
      <w:r w:rsidRPr="00271C1D">
        <w:rPr>
          <w:rFonts w:asciiTheme="minorHAnsi" w:hAnsiTheme="minorHAnsi" w:cstheme="minorHAnsi"/>
          <w:sz w:val="22"/>
          <w:szCs w:val="22"/>
        </w:rPr>
        <w:t>%) con relación al precio promedio del periodo previo.</w:t>
      </w:r>
    </w:p>
    <w:p w14:paraId="758DD1CE" w14:textId="7B2B0802"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w:t>
      </w:r>
      <w:r w:rsidR="0059697B">
        <w:rPr>
          <w:rFonts w:asciiTheme="minorHAnsi" w:hAnsiTheme="minorHAnsi" w:cstheme="minorHAnsi"/>
          <w:sz w:val="22"/>
          <w:szCs w:val="22"/>
        </w:rPr>
        <w:t>subi</w:t>
      </w:r>
      <w:r w:rsidR="00F605CC">
        <w:rPr>
          <w:rFonts w:asciiTheme="minorHAnsi" w:hAnsiTheme="minorHAnsi" w:cstheme="minorHAnsi"/>
          <w:sz w:val="22"/>
          <w:szCs w:val="22"/>
        </w:rPr>
        <w:t>ó</w:t>
      </w:r>
      <w:r w:rsidRPr="00271C1D">
        <w:rPr>
          <w:rFonts w:asciiTheme="minorHAnsi" w:hAnsiTheme="minorHAnsi" w:cstheme="minorHAnsi"/>
          <w:sz w:val="22"/>
          <w:szCs w:val="22"/>
        </w:rPr>
        <w:t xml:space="preserve"> </w:t>
      </w:r>
      <w:r w:rsidR="002207D1">
        <w:rPr>
          <w:rFonts w:asciiTheme="minorHAnsi" w:hAnsiTheme="minorHAnsi" w:cstheme="minorHAnsi"/>
          <w:sz w:val="22"/>
          <w:szCs w:val="22"/>
        </w:rPr>
        <w:t>3.24</w:t>
      </w:r>
      <w:r w:rsidR="00EE6661">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2207D1">
        <w:rPr>
          <w:rFonts w:asciiTheme="minorHAnsi" w:hAnsiTheme="minorHAnsi" w:cstheme="minorHAnsi"/>
          <w:sz w:val="22"/>
          <w:szCs w:val="22"/>
        </w:rPr>
        <w:t>3.66</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59697B">
        <w:rPr>
          <w:rFonts w:asciiTheme="minorHAnsi" w:hAnsiTheme="minorHAnsi" w:cstheme="minorHAnsi"/>
          <w:sz w:val="22"/>
          <w:szCs w:val="22"/>
        </w:rPr>
        <w:t>aumentó</w:t>
      </w:r>
      <w:r w:rsidR="00E57128" w:rsidRPr="00271C1D">
        <w:rPr>
          <w:rFonts w:asciiTheme="minorHAnsi" w:hAnsiTheme="minorHAnsi" w:cstheme="minorHAnsi"/>
          <w:sz w:val="22"/>
          <w:szCs w:val="22"/>
        </w:rPr>
        <w:t xml:space="preserve"> </w:t>
      </w:r>
      <w:r w:rsidR="002207D1">
        <w:rPr>
          <w:rFonts w:asciiTheme="minorHAnsi" w:hAnsiTheme="minorHAnsi" w:cstheme="minorHAnsi"/>
          <w:sz w:val="22"/>
          <w:szCs w:val="22"/>
        </w:rPr>
        <w:t xml:space="preserve">5.47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2207D1">
        <w:rPr>
          <w:rFonts w:asciiTheme="minorHAnsi" w:hAnsiTheme="minorHAnsi" w:cstheme="minorHAnsi"/>
          <w:sz w:val="22"/>
          <w:szCs w:val="22"/>
        </w:rPr>
        <w:t>5.90</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 xml:space="preserve">io de la Gasolina UNL 93 </w:t>
      </w:r>
      <w:r w:rsidR="0059697B">
        <w:rPr>
          <w:rFonts w:asciiTheme="minorHAnsi" w:hAnsiTheme="minorHAnsi" w:cstheme="minorHAnsi"/>
          <w:sz w:val="22"/>
          <w:szCs w:val="22"/>
        </w:rPr>
        <w:t>subi</w:t>
      </w:r>
      <w:r w:rsidR="00F605CC">
        <w:rPr>
          <w:rFonts w:asciiTheme="minorHAnsi" w:hAnsiTheme="minorHAnsi" w:cstheme="minorHAnsi"/>
          <w:sz w:val="22"/>
          <w:szCs w:val="22"/>
        </w:rPr>
        <w:t xml:space="preserve">ó </w:t>
      </w:r>
      <w:r w:rsidR="00B16936">
        <w:rPr>
          <w:rFonts w:asciiTheme="minorHAnsi" w:hAnsiTheme="minorHAnsi" w:cstheme="minorHAnsi"/>
          <w:sz w:val="22"/>
          <w:szCs w:val="22"/>
        </w:rPr>
        <w:t>3.24</w:t>
      </w:r>
      <w:r w:rsidR="00F605CC">
        <w:rPr>
          <w:rFonts w:asciiTheme="minorHAnsi" w:hAnsiTheme="minorHAnsi" w:cstheme="minorHAnsi"/>
          <w:sz w:val="22"/>
          <w:szCs w:val="22"/>
        </w:rPr>
        <w:t xml:space="preserve"> US$/</w:t>
      </w:r>
      <w:proofErr w:type="spellStart"/>
      <w:r w:rsidR="00F605CC">
        <w:rPr>
          <w:rFonts w:asciiTheme="minorHAnsi" w:hAnsiTheme="minorHAnsi" w:cstheme="minorHAnsi"/>
          <w:sz w:val="22"/>
          <w:szCs w:val="22"/>
        </w:rPr>
        <w:t>Bl</w:t>
      </w:r>
      <w:proofErr w:type="spellEnd"/>
      <w:r w:rsidR="00F605CC">
        <w:rPr>
          <w:rFonts w:asciiTheme="minorHAnsi" w:hAnsiTheme="minorHAnsi" w:cstheme="minorHAnsi"/>
          <w:sz w:val="22"/>
          <w:szCs w:val="22"/>
        </w:rPr>
        <w:t xml:space="preserve"> (</w:t>
      </w:r>
      <w:r w:rsidR="00B16936">
        <w:rPr>
          <w:rFonts w:asciiTheme="minorHAnsi" w:hAnsiTheme="minorHAnsi" w:cstheme="minorHAnsi"/>
          <w:sz w:val="22"/>
          <w:szCs w:val="22"/>
        </w:rPr>
        <w:t>3.63</w:t>
      </w:r>
      <w:r w:rsidR="008825CF">
        <w:rPr>
          <w:rFonts w:asciiTheme="minorHAnsi" w:hAnsiTheme="minorHAnsi" w:cstheme="minorHAnsi"/>
          <w:sz w:val="22"/>
          <w:szCs w:val="22"/>
        </w:rPr>
        <w:t>%).</w:t>
      </w:r>
    </w:p>
    <w:p w14:paraId="009832FF" w14:textId="678A6F3C"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59697B">
        <w:rPr>
          <w:rFonts w:asciiTheme="minorHAnsi" w:hAnsiTheme="minorHAnsi" w:cstheme="minorHAnsi"/>
          <w:sz w:val="22"/>
          <w:szCs w:val="22"/>
        </w:rPr>
        <w:t>aument</w:t>
      </w:r>
      <w:r w:rsidR="00F605CC">
        <w:rPr>
          <w:rFonts w:asciiTheme="minorHAnsi" w:hAnsiTheme="minorHAnsi" w:cstheme="minorHAnsi"/>
          <w:sz w:val="22"/>
          <w:szCs w:val="22"/>
        </w:rPr>
        <w:t>ó</w:t>
      </w:r>
      <w:r w:rsidR="000E16A0" w:rsidRPr="00271C1D">
        <w:rPr>
          <w:rFonts w:asciiTheme="minorHAnsi" w:hAnsiTheme="minorHAnsi" w:cstheme="minorHAnsi"/>
          <w:sz w:val="22"/>
          <w:szCs w:val="22"/>
        </w:rPr>
        <w:t xml:space="preserve"> </w:t>
      </w:r>
      <w:r w:rsidR="000A5109">
        <w:rPr>
          <w:rFonts w:asciiTheme="minorHAnsi" w:hAnsiTheme="minorHAnsi" w:cstheme="minorHAnsi"/>
          <w:sz w:val="22"/>
          <w:szCs w:val="22"/>
        </w:rPr>
        <w:t>1.87</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w:t>
      </w:r>
      <w:proofErr w:type="spellStart"/>
      <w:r w:rsidR="000E16A0" w:rsidRPr="00271C1D">
        <w:rPr>
          <w:rFonts w:asciiTheme="minorHAnsi" w:hAnsiTheme="minorHAnsi" w:cstheme="minorHAnsi"/>
          <w:sz w:val="22"/>
          <w:szCs w:val="22"/>
        </w:rPr>
        <w:t>Bl</w:t>
      </w:r>
      <w:proofErr w:type="spellEnd"/>
      <w:r w:rsidR="000E16A0" w:rsidRPr="00271C1D">
        <w:rPr>
          <w:rFonts w:asciiTheme="minorHAnsi" w:hAnsiTheme="minorHAnsi" w:cstheme="minorHAnsi"/>
          <w:sz w:val="22"/>
          <w:szCs w:val="22"/>
        </w:rPr>
        <w:t xml:space="preserve"> (</w:t>
      </w:r>
      <w:r w:rsidR="000A5109">
        <w:rPr>
          <w:rFonts w:asciiTheme="minorHAnsi" w:hAnsiTheme="minorHAnsi" w:cstheme="minorHAnsi"/>
          <w:sz w:val="22"/>
          <w:szCs w:val="22"/>
        </w:rPr>
        <w:t>2.03</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59697B">
        <w:rPr>
          <w:rFonts w:asciiTheme="minorHAnsi" w:hAnsiTheme="minorHAnsi" w:cstheme="minorHAnsi"/>
          <w:sz w:val="22"/>
          <w:szCs w:val="22"/>
        </w:rPr>
        <w:t>se increment</w:t>
      </w:r>
      <w:r w:rsidR="00F605CC">
        <w:rPr>
          <w:rFonts w:asciiTheme="minorHAnsi" w:hAnsiTheme="minorHAnsi" w:cstheme="minorHAnsi"/>
          <w:sz w:val="22"/>
          <w:szCs w:val="22"/>
        </w:rPr>
        <w:t>ó</w:t>
      </w:r>
      <w:r w:rsidR="0059697B">
        <w:rPr>
          <w:rFonts w:asciiTheme="minorHAnsi" w:hAnsiTheme="minorHAnsi" w:cstheme="minorHAnsi"/>
          <w:sz w:val="22"/>
          <w:szCs w:val="22"/>
        </w:rPr>
        <w:t xml:space="preserve"> en</w:t>
      </w:r>
      <w:r w:rsidR="00F605CC">
        <w:rPr>
          <w:rFonts w:asciiTheme="minorHAnsi" w:hAnsiTheme="minorHAnsi" w:cstheme="minorHAnsi"/>
          <w:sz w:val="22"/>
          <w:szCs w:val="22"/>
        </w:rPr>
        <w:t xml:space="preserve"> </w:t>
      </w:r>
      <w:r w:rsidR="000A5109">
        <w:rPr>
          <w:rFonts w:asciiTheme="minorHAnsi" w:hAnsiTheme="minorHAnsi" w:cstheme="minorHAnsi"/>
          <w:sz w:val="22"/>
          <w:szCs w:val="22"/>
        </w:rPr>
        <w:t>1.24</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0A5109">
        <w:rPr>
          <w:rFonts w:asciiTheme="minorHAnsi" w:hAnsiTheme="minorHAnsi" w:cstheme="minorHAnsi"/>
          <w:sz w:val="22"/>
          <w:szCs w:val="22"/>
        </w:rPr>
        <w:t>1.29</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59697B">
        <w:rPr>
          <w:rFonts w:asciiTheme="minorHAnsi" w:hAnsiTheme="minorHAnsi" w:cstheme="minorHAnsi"/>
          <w:sz w:val="22"/>
          <w:szCs w:val="22"/>
        </w:rPr>
        <w:t>aumentó</w:t>
      </w:r>
      <w:r w:rsidR="00F605CC">
        <w:rPr>
          <w:rFonts w:asciiTheme="minorHAnsi" w:hAnsiTheme="minorHAnsi" w:cstheme="minorHAnsi"/>
          <w:sz w:val="22"/>
          <w:szCs w:val="22"/>
        </w:rPr>
        <w:t xml:space="preserve"> </w:t>
      </w:r>
      <w:r w:rsidR="000A5109">
        <w:rPr>
          <w:rFonts w:asciiTheme="minorHAnsi" w:hAnsiTheme="minorHAnsi" w:cstheme="minorHAnsi"/>
          <w:sz w:val="22"/>
          <w:szCs w:val="22"/>
        </w:rPr>
        <w:t>4.59</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0A5109">
        <w:rPr>
          <w:rFonts w:asciiTheme="minorHAnsi" w:hAnsiTheme="minorHAnsi" w:cstheme="minorHAnsi"/>
          <w:sz w:val="22"/>
          <w:szCs w:val="22"/>
        </w:rPr>
        <w:t>6.06</w:t>
      </w:r>
      <w:r w:rsidR="008126CB" w:rsidRPr="00271C1D">
        <w:rPr>
          <w:rFonts w:asciiTheme="minorHAnsi" w:hAnsiTheme="minorHAnsi" w:cstheme="minorHAnsi"/>
          <w:sz w:val="22"/>
          <w:szCs w:val="22"/>
        </w:rPr>
        <w:t>%).</w:t>
      </w:r>
    </w:p>
    <w:p w14:paraId="08092425" w14:textId="77777777" w:rsidR="00B8281F" w:rsidRDefault="00B8281F" w:rsidP="008126CB">
      <w:pPr>
        <w:ind w:left="709"/>
        <w:jc w:val="both"/>
        <w:rPr>
          <w:rFonts w:asciiTheme="minorHAnsi" w:hAnsiTheme="minorHAnsi" w:cstheme="minorHAnsi"/>
          <w:sz w:val="22"/>
          <w:szCs w:val="22"/>
        </w:rPr>
      </w:pPr>
    </w:p>
    <w:p w14:paraId="2C457EC3" w14:textId="0615B728" w:rsidR="003B0F58" w:rsidRDefault="006B0322" w:rsidP="00A868A4">
      <w:pPr>
        <w:ind w:left="567"/>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466D809D" w14:textId="3096A287" w:rsidR="000423EB" w:rsidRPr="000423EB" w:rsidRDefault="000423EB" w:rsidP="00592CE9">
      <w:pPr>
        <w:numPr>
          <w:ilvl w:val="0"/>
          <w:numId w:val="32"/>
        </w:numPr>
        <w:spacing w:line="276" w:lineRule="auto"/>
        <w:ind w:left="993"/>
        <w:jc w:val="both"/>
        <w:rPr>
          <w:rFonts w:asciiTheme="minorHAnsi" w:hAnsiTheme="minorHAnsi" w:cstheme="minorHAnsi"/>
          <w:sz w:val="22"/>
          <w:szCs w:val="22"/>
        </w:rPr>
      </w:pPr>
      <w:r w:rsidRPr="000423EB">
        <w:rPr>
          <w:rFonts w:asciiTheme="minorHAnsi" w:hAnsiTheme="minorHAnsi" w:cstheme="minorHAnsi"/>
          <w:sz w:val="22"/>
          <w:szCs w:val="22"/>
        </w:rPr>
        <w:t xml:space="preserve">La caída de los inventarios de petróleo crudo y destilados, así como el aumento de las existencias de gasolina </w:t>
      </w:r>
      <w:r w:rsidR="00592CE9">
        <w:rPr>
          <w:rFonts w:asciiTheme="minorHAnsi" w:hAnsiTheme="minorHAnsi" w:cstheme="minorHAnsi"/>
          <w:sz w:val="22"/>
          <w:szCs w:val="22"/>
        </w:rPr>
        <w:t>en EE.UU., al 27 de agosto 2021 (Anexo N°2)</w:t>
      </w:r>
    </w:p>
    <w:p w14:paraId="71EBDDA6" w14:textId="09262342" w:rsidR="000423EB" w:rsidRDefault="000423EB" w:rsidP="00592CE9">
      <w:pPr>
        <w:ind w:left="993"/>
        <w:jc w:val="both"/>
        <w:rPr>
          <w:rFonts w:asciiTheme="minorHAnsi" w:hAnsiTheme="minorHAnsi" w:cstheme="minorHAnsi"/>
          <w:sz w:val="22"/>
          <w:szCs w:val="22"/>
        </w:rPr>
      </w:pPr>
      <w:r w:rsidRPr="000423EB">
        <w:rPr>
          <w:rFonts w:asciiTheme="minorHAnsi" w:hAnsiTheme="minorHAnsi" w:cstheme="minorHAnsi"/>
          <w:sz w:val="22"/>
          <w:szCs w:val="22"/>
        </w:rPr>
        <w:lastRenderedPageBreak/>
        <w:t>Los inventarios de petróleo bajaron 7.2 millones de barriles. Las existencias de gasolina subieron 1.3 millones de barriles; mientras los inventarios de destilados, que incluyen al diésel y al combustible para calefacción, disminuyeron 1.7 millones de barriles.</w:t>
      </w:r>
    </w:p>
    <w:p w14:paraId="1723471D" w14:textId="77777777" w:rsidR="00592CE9" w:rsidRDefault="00592CE9" w:rsidP="00592CE9">
      <w:pPr>
        <w:ind w:left="993"/>
        <w:jc w:val="both"/>
        <w:rPr>
          <w:rFonts w:asciiTheme="minorHAnsi" w:hAnsiTheme="minorHAnsi" w:cstheme="minorHAnsi"/>
          <w:sz w:val="22"/>
          <w:szCs w:val="22"/>
        </w:rPr>
      </w:pPr>
    </w:p>
    <w:p w14:paraId="00A3289D" w14:textId="77777777" w:rsidR="000423EB" w:rsidRPr="000423EB" w:rsidRDefault="000423EB" w:rsidP="00592CE9">
      <w:pPr>
        <w:numPr>
          <w:ilvl w:val="0"/>
          <w:numId w:val="32"/>
        </w:numPr>
        <w:spacing w:line="276" w:lineRule="auto"/>
        <w:ind w:left="993"/>
        <w:jc w:val="both"/>
        <w:rPr>
          <w:rFonts w:asciiTheme="minorHAnsi" w:hAnsiTheme="minorHAnsi" w:cstheme="minorHAnsi"/>
          <w:sz w:val="22"/>
          <w:szCs w:val="22"/>
        </w:rPr>
      </w:pPr>
      <w:r w:rsidRPr="000423EB">
        <w:rPr>
          <w:rFonts w:asciiTheme="minorHAnsi" w:hAnsiTheme="minorHAnsi" w:cstheme="minorHAnsi"/>
          <w:sz w:val="22"/>
          <w:szCs w:val="22"/>
        </w:rPr>
        <w:t>Las expectativas de un repunte de la demanda global y una lenta reapertura del centro de exportación y refinación de crudo de la costa estadounidense del Golfo de México, luego del paso del huracán Ida a principios de la semana pasada, lo que redujo aún más las existencias de petróleo y combustibles.</w:t>
      </w:r>
    </w:p>
    <w:p w14:paraId="0E59B387" w14:textId="196E821C" w:rsidR="000423EB" w:rsidRDefault="000423EB" w:rsidP="00592CE9">
      <w:pPr>
        <w:ind w:left="993"/>
        <w:jc w:val="both"/>
        <w:rPr>
          <w:rFonts w:asciiTheme="minorHAnsi" w:hAnsiTheme="minorHAnsi" w:cstheme="minorHAnsi"/>
          <w:sz w:val="22"/>
          <w:szCs w:val="22"/>
        </w:rPr>
      </w:pPr>
      <w:r w:rsidRPr="000423EB">
        <w:rPr>
          <w:rFonts w:asciiTheme="minorHAnsi" w:hAnsiTheme="minorHAnsi" w:cstheme="minorHAnsi"/>
          <w:sz w:val="22"/>
          <w:szCs w:val="22"/>
        </w:rPr>
        <w:t>El huracán Ida ha afectado alrededor del 80% de la producción de gas y petróleo en el Golfo de México. Las refinerías del estado de Luisiana en Estados Unidos podrían tardarse semanas en reanudar la totalidad de sus operaciones.</w:t>
      </w:r>
    </w:p>
    <w:p w14:paraId="3F8222DF" w14:textId="77777777" w:rsidR="00A868A4" w:rsidRDefault="00A868A4" w:rsidP="00592CE9">
      <w:pPr>
        <w:ind w:left="993"/>
        <w:jc w:val="both"/>
        <w:rPr>
          <w:rFonts w:asciiTheme="minorHAnsi" w:hAnsiTheme="minorHAnsi" w:cstheme="minorHAnsi"/>
          <w:sz w:val="22"/>
          <w:szCs w:val="22"/>
        </w:rPr>
      </w:pPr>
    </w:p>
    <w:p w14:paraId="22490721" w14:textId="5726DF2E" w:rsidR="000423EB" w:rsidRDefault="000423EB" w:rsidP="00592CE9">
      <w:pPr>
        <w:numPr>
          <w:ilvl w:val="0"/>
          <w:numId w:val="32"/>
        </w:numPr>
        <w:spacing w:line="276" w:lineRule="auto"/>
        <w:ind w:left="993"/>
        <w:jc w:val="both"/>
        <w:rPr>
          <w:rFonts w:asciiTheme="minorHAnsi" w:hAnsiTheme="minorHAnsi" w:cstheme="minorHAnsi"/>
          <w:sz w:val="22"/>
          <w:szCs w:val="22"/>
        </w:rPr>
      </w:pPr>
      <w:r w:rsidRPr="000423EB">
        <w:rPr>
          <w:rFonts w:asciiTheme="minorHAnsi" w:hAnsiTheme="minorHAnsi" w:cstheme="minorHAnsi"/>
          <w:sz w:val="22"/>
          <w:szCs w:val="22"/>
        </w:rPr>
        <w:t>La significativa interrupción de la producción de crudo en México como consecuencia de un incendio en una de sus plataformas petroleras, que ocasionó la muerte de cinco trabajadores. Se estima que este accidente redujo la producción en 421,000 barriles por día, aproximadamente una cuarta parte de la producción total del país.</w:t>
      </w:r>
    </w:p>
    <w:p w14:paraId="094CCCDE" w14:textId="77777777" w:rsidR="00A868A4" w:rsidRPr="000423EB" w:rsidRDefault="00A868A4" w:rsidP="00A868A4">
      <w:pPr>
        <w:spacing w:line="276" w:lineRule="auto"/>
        <w:ind w:left="993"/>
        <w:jc w:val="both"/>
        <w:rPr>
          <w:rFonts w:asciiTheme="minorHAnsi" w:hAnsiTheme="minorHAnsi" w:cstheme="minorHAnsi"/>
          <w:sz w:val="22"/>
          <w:szCs w:val="22"/>
        </w:rPr>
      </w:pPr>
    </w:p>
    <w:p w14:paraId="66A34E19" w14:textId="77777777" w:rsidR="000423EB" w:rsidRPr="000423EB" w:rsidRDefault="000423EB" w:rsidP="00592CE9">
      <w:pPr>
        <w:numPr>
          <w:ilvl w:val="0"/>
          <w:numId w:val="32"/>
        </w:numPr>
        <w:spacing w:line="276" w:lineRule="auto"/>
        <w:ind w:left="993"/>
        <w:jc w:val="both"/>
        <w:rPr>
          <w:rFonts w:asciiTheme="minorHAnsi" w:hAnsiTheme="minorHAnsi" w:cstheme="minorHAnsi"/>
          <w:sz w:val="22"/>
          <w:szCs w:val="22"/>
        </w:rPr>
      </w:pPr>
      <w:r w:rsidRPr="000423EB">
        <w:rPr>
          <w:rFonts w:asciiTheme="minorHAnsi" w:hAnsiTheme="minorHAnsi" w:cstheme="minorHAnsi"/>
          <w:sz w:val="22"/>
          <w:szCs w:val="22"/>
        </w:rPr>
        <w:t>El pronóstico de un mayor aumento de la demanda de crudo en 2022, de parte de la OPEP; así como la decisión de esta Organización, de continuar con su política de salir gradualmente del acuerdo de recortes de producción, lo que sumará 400,000 barriles por día (bpd) al mercado internacional.</w:t>
      </w: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428310BB"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w:t>
      </w:r>
      <w:r w:rsidR="00897911">
        <w:rPr>
          <w:rFonts w:asciiTheme="minorHAnsi" w:hAnsiTheme="minorHAnsi" w:cstheme="minorHAnsi"/>
          <w:sz w:val="22"/>
          <w:szCs w:val="22"/>
        </w:rPr>
        <w:t>02</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897911">
        <w:rPr>
          <w:rFonts w:asciiTheme="minorHAnsi" w:hAnsiTheme="minorHAnsi" w:cstheme="minorHAnsi"/>
          <w:sz w:val="22"/>
          <w:szCs w:val="22"/>
        </w:rPr>
        <w:t>9</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w:t>
      </w:r>
      <w:r w:rsidR="00897911">
        <w:rPr>
          <w:rFonts w:asciiTheme="minorHAnsi" w:hAnsiTheme="minorHAnsi" w:cstheme="minorHAnsi"/>
          <w:sz w:val="22"/>
          <w:szCs w:val="22"/>
        </w:rPr>
        <w:t>19</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E07611">
        <w:rPr>
          <w:rFonts w:asciiTheme="minorHAnsi" w:hAnsiTheme="minorHAnsi" w:cstheme="minorHAnsi"/>
          <w:sz w:val="22"/>
          <w:szCs w:val="22"/>
        </w:rPr>
        <w:t>-0.</w:t>
      </w:r>
      <w:r w:rsidR="00897911">
        <w:rPr>
          <w:rFonts w:asciiTheme="minorHAnsi" w:hAnsiTheme="minorHAnsi" w:cstheme="minorHAnsi"/>
          <w:sz w:val="22"/>
          <w:szCs w:val="22"/>
        </w:rPr>
        <w:t>11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897911">
        <w:rPr>
          <w:rFonts w:asciiTheme="minorHAnsi" w:hAnsiTheme="minorHAnsi" w:cstheme="minorHAnsi"/>
          <w:sz w:val="22"/>
          <w:szCs w:val="22"/>
        </w:rPr>
        <w:t>18</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897911">
        <w:rPr>
          <w:rFonts w:asciiTheme="minorHAnsi" w:hAnsiTheme="minorHAnsi" w:cstheme="minorHAnsi"/>
          <w:sz w:val="22"/>
          <w:szCs w:val="22"/>
        </w:rPr>
        <w:t>17</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E07611">
        <w:rPr>
          <w:rFonts w:asciiTheme="minorHAnsi" w:hAnsiTheme="minorHAnsi" w:cstheme="minorHAnsi"/>
          <w:sz w:val="22"/>
          <w:szCs w:val="22"/>
        </w:rPr>
        <w:t>-0.</w:t>
      </w:r>
      <w:r w:rsidR="00897911">
        <w:rPr>
          <w:rFonts w:asciiTheme="minorHAnsi" w:hAnsiTheme="minorHAnsi" w:cstheme="minorHAnsi"/>
          <w:sz w:val="22"/>
          <w:szCs w:val="22"/>
        </w:rPr>
        <w:t>13</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E07611">
        <w:rPr>
          <w:rFonts w:asciiTheme="minorHAnsi" w:hAnsiTheme="minorHAnsi" w:cstheme="minorHAnsi"/>
          <w:sz w:val="22"/>
          <w:szCs w:val="22"/>
        </w:rPr>
        <w:t>-0.</w:t>
      </w:r>
      <w:r w:rsidR="00897911">
        <w:rPr>
          <w:rFonts w:asciiTheme="minorHAnsi" w:hAnsiTheme="minorHAnsi" w:cstheme="minorHAnsi"/>
          <w:sz w:val="22"/>
          <w:szCs w:val="22"/>
        </w:rPr>
        <w:t>1</w:t>
      </w:r>
      <w:r w:rsidR="00E07611">
        <w:rPr>
          <w:rFonts w:asciiTheme="minorHAnsi" w:hAnsiTheme="minorHAnsi" w:cstheme="minorHAnsi"/>
          <w:sz w:val="22"/>
          <w:szCs w:val="22"/>
        </w:rPr>
        <w:t>0</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897911">
        <w:rPr>
          <w:rFonts w:asciiTheme="minorHAnsi" w:hAnsiTheme="minorHAnsi" w:cstheme="minorHAnsi"/>
          <w:sz w:val="22"/>
          <w:szCs w:val="22"/>
        </w:rPr>
        <w:t>16</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8D4274">
        <w:rPr>
          <w:rFonts w:asciiTheme="minorHAnsi" w:hAnsiTheme="minorHAnsi" w:cstheme="minorHAnsi"/>
          <w:sz w:val="22"/>
          <w:szCs w:val="22"/>
        </w:rPr>
        <w:t xml:space="preserve">, así como en el precio </w:t>
      </w:r>
      <w:r w:rsidR="00E07611">
        <w:rPr>
          <w:rFonts w:asciiTheme="minorHAnsi" w:hAnsiTheme="minorHAnsi" w:cstheme="minorHAnsi"/>
          <w:sz w:val="22"/>
          <w:szCs w:val="22"/>
        </w:rPr>
        <w:t>de</w:t>
      </w:r>
      <w:r w:rsidR="00332547">
        <w:rPr>
          <w:rFonts w:asciiTheme="minorHAnsi" w:hAnsiTheme="minorHAnsi" w:cstheme="minorHAnsi"/>
          <w:sz w:val="22"/>
          <w:szCs w:val="22"/>
        </w:rPr>
        <w:t xml:space="preserve"> los residuales R6 (</w:t>
      </w:r>
      <w:r w:rsidR="00897911">
        <w:rPr>
          <w:rFonts w:asciiTheme="minorHAnsi" w:hAnsiTheme="minorHAnsi" w:cstheme="minorHAnsi"/>
          <w:sz w:val="22"/>
          <w:szCs w:val="22"/>
        </w:rPr>
        <w:t>+</w:t>
      </w:r>
      <w:r w:rsidR="00332547">
        <w:rPr>
          <w:rFonts w:asciiTheme="minorHAnsi" w:hAnsiTheme="minorHAnsi" w:cstheme="minorHAnsi"/>
          <w:sz w:val="22"/>
          <w:szCs w:val="22"/>
        </w:rPr>
        <w:t>0.</w:t>
      </w:r>
      <w:r w:rsidR="00897911">
        <w:rPr>
          <w:rFonts w:asciiTheme="minorHAnsi" w:hAnsiTheme="minorHAnsi" w:cstheme="minorHAnsi"/>
          <w:sz w:val="22"/>
          <w:szCs w:val="22"/>
        </w:rPr>
        <w:t>02</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 y R500 (</w:t>
      </w:r>
      <w:r w:rsidR="00897911">
        <w:rPr>
          <w:rFonts w:asciiTheme="minorHAnsi" w:hAnsiTheme="minorHAnsi" w:cstheme="minorHAnsi"/>
          <w:sz w:val="22"/>
          <w:szCs w:val="22"/>
        </w:rPr>
        <w:t>+</w:t>
      </w:r>
      <w:r w:rsidR="00332547">
        <w:rPr>
          <w:rFonts w:asciiTheme="minorHAnsi" w:hAnsiTheme="minorHAnsi" w:cstheme="minorHAnsi"/>
          <w:sz w:val="22"/>
          <w:szCs w:val="22"/>
        </w:rPr>
        <w:t>0.</w:t>
      </w:r>
      <w:r w:rsidR="00E07611">
        <w:rPr>
          <w:rFonts w:asciiTheme="minorHAnsi" w:hAnsiTheme="minorHAnsi" w:cstheme="minorHAnsi"/>
          <w:sz w:val="22"/>
          <w:szCs w:val="22"/>
        </w:rPr>
        <w:t>14</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w:t>
      </w:r>
    </w:p>
    <w:p w14:paraId="7512C3C9" w14:textId="77777777" w:rsidR="002D493D" w:rsidRDefault="002D493D" w:rsidP="002D493D">
      <w:pPr>
        <w:pStyle w:val="Sangradetextonormal"/>
        <w:tabs>
          <w:tab w:val="left" w:pos="851"/>
        </w:tabs>
        <w:ind w:left="851" w:firstLine="0"/>
        <w:rPr>
          <w:rFonts w:asciiTheme="minorHAnsi" w:hAnsiTheme="minorHAnsi" w:cstheme="minorHAnsi"/>
          <w:sz w:val="22"/>
          <w:szCs w:val="22"/>
        </w:rPr>
      </w:pPr>
    </w:p>
    <w:p w14:paraId="2668FB0F" w14:textId="709B2351"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61EEA127" w14:textId="77777777" w:rsidR="00994DCA" w:rsidRDefault="00994DCA" w:rsidP="00994DCA">
      <w:pPr>
        <w:pStyle w:val="Prrafodelista"/>
        <w:rPr>
          <w:rFonts w:asciiTheme="minorHAnsi" w:hAnsiTheme="minorHAnsi" w:cstheme="minorHAnsi"/>
          <w:sz w:val="22"/>
          <w:szCs w:val="22"/>
        </w:rPr>
      </w:pPr>
    </w:p>
    <w:p w14:paraId="15DB6592" w14:textId="63D20681"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1AF5D0C2" w14:textId="77777777" w:rsidR="00994DCA" w:rsidRDefault="00994DCA" w:rsidP="00994DCA">
      <w:pPr>
        <w:pStyle w:val="Prrafodelista"/>
        <w:rPr>
          <w:rFonts w:asciiTheme="minorHAnsi" w:hAnsiTheme="minorHAnsi" w:cstheme="minorHAnsi"/>
          <w:sz w:val="22"/>
          <w:szCs w:val="22"/>
        </w:rPr>
      </w:pPr>
    </w:p>
    <w:p w14:paraId="20BDE939" w14:textId="7906AFEE" w:rsidR="004B0276" w:rsidRPr="002D493D" w:rsidRDefault="00125BE0" w:rsidP="00C009A3">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D493D">
        <w:rPr>
          <w:rFonts w:asciiTheme="minorHAnsi" w:hAnsiTheme="minorHAnsi" w:cstheme="minorHAnsi"/>
          <w:sz w:val="22"/>
          <w:szCs w:val="22"/>
        </w:rPr>
        <w:t xml:space="preserve">A partir del 28 de junio 2021, por Decreto Supremo N°015 – 2021 </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EM</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w:t>
      </w:r>
      <w:r w:rsidR="000423EB" w:rsidRPr="002D493D">
        <w:rPr>
          <w:rFonts w:asciiTheme="minorHAnsi" w:hAnsiTheme="minorHAnsi" w:cstheme="minorHAnsi"/>
          <w:sz w:val="22"/>
          <w:szCs w:val="22"/>
        </w:rPr>
        <w:t>entraron en vigor</w:t>
      </w:r>
      <w:r w:rsidRPr="002D493D">
        <w:rPr>
          <w:rFonts w:asciiTheme="minorHAnsi" w:hAnsiTheme="minorHAnsi" w:cstheme="minorHAnsi"/>
          <w:sz w:val="22"/>
          <w:szCs w:val="22"/>
        </w:rPr>
        <w:t xml:space="preserve"> nuevas medidas para la estabilización de los precios del Diésel BX</w:t>
      </w:r>
      <w:r w:rsidR="007207E7" w:rsidRPr="002D493D">
        <w:rPr>
          <w:rFonts w:asciiTheme="minorHAnsi" w:hAnsiTheme="minorHAnsi" w:cstheme="minorHAnsi"/>
          <w:sz w:val="22"/>
          <w:szCs w:val="22"/>
        </w:rPr>
        <w:t xml:space="preserve"> de uso vehicular: se modificó la lista de productos afectos al Fondo para la Estabilización de Precios de los Combustibles Derivados del Petróleo y se dictaron las condiciones técnicas para la actualización de la Banda de Precios del Diésel BX.</w:t>
      </w:r>
      <w:r w:rsidR="004B0276" w:rsidRPr="002D493D">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61E3A583" w:rsidR="00A611A5" w:rsidRPr="002B3648" w:rsidRDefault="001C7B61" w:rsidP="00A611A5">
      <w:pPr>
        <w:pBdr>
          <w:top w:val="single" w:sz="4" w:space="1" w:color="auto"/>
          <w:bottom w:val="single" w:sz="4" w:space="1" w:color="auto"/>
        </w:pBdr>
        <w:ind w:left="284"/>
        <w:jc w:val="both"/>
        <w:rPr>
          <w:rFonts w:asciiTheme="minorHAnsi" w:hAnsiTheme="minorHAnsi" w:cstheme="minorHAnsi"/>
          <w:sz w:val="22"/>
          <w:szCs w:val="22"/>
        </w:rPr>
      </w:pPr>
      <w:r w:rsidRPr="001C7B61">
        <w:rPr>
          <w:noProof/>
          <w:lang w:val="es-PE" w:eastAsia="es-PE"/>
        </w:rPr>
        <w:drawing>
          <wp:inline distT="0" distB="0" distL="0" distR="0" wp14:anchorId="01304601" wp14:editId="78A0EED1">
            <wp:extent cx="5280660" cy="3200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660" cy="3200400"/>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323CB094"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un nivel máximo de 75.25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xml:space="preserve">,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w:t>
      </w:r>
    </w:p>
    <w:p w14:paraId="5D4ED9A2" w14:textId="77777777" w:rsidR="00470CF5" w:rsidRDefault="00470CF5" w:rsidP="00AC53F6">
      <w:pPr>
        <w:ind w:left="284"/>
        <w:jc w:val="both"/>
        <w:rPr>
          <w:rFonts w:asciiTheme="minorHAnsi" w:hAnsiTheme="minorHAnsi" w:cstheme="minorHAnsi"/>
          <w:sz w:val="22"/>
          <w:szCs w:val="22"/>
        </w:rPr>
      </w:pPr>
    </w:p>
    <w:p w14:paraId="6C6D93A3" w14:textId="77777777" w:rsidR="00470CF5" w:rsidRDefault="00470CF5" w:rsidP="00AC53F6">
      <w:pPr>
        <w:ind w:left="284"/>
        <w:jc w:val="both"/>
        <w:rPr>
          <w:rFonts w:asciiTheme="minorHAnsi" w:hAnsiTheme="minorHAnsi" w:cstheme="minorHAnsi"/>
          <w:sz w:val="22"/>
          <w:szCs w:val="22"/>
        </w:rPr>
      </w:pPr>
    </w:p>
    <w:p w14:paraId="76DA3A5B" w14:textId="045B9435" w:rsidR="00470CF5" w:rsidRDefault="00470CF5" w:rsidP="00AC53F6">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sidR="00A868A4">
        <w:rPr>
          <w:rFonts w:asciiTheme="minorHAnsi" w:hAnsiTheme="minorHAnsi" w:cstheme="minorHAnsi"/>
          <w:sz w:val="22"/>
          <w:szCs w:val="22"/>
        </w:rPr>
        <w:t>en el mercado del petróleo cambiaron</w:t>
      </w:r>
      <w:r>
        <w:rPr>
          <w:rFonts w:asciiTheme="minorHAnsi" w:hAnsiTheme="minorHAnsi" w:cstheme="minorHAnsi"/>
          <w:sz w:val="22"/>
          <w:szCs w:val="22"/>
        </w:rPr>
        <w:t xml:space="preserve">, </w:t>
      </w:r>
      <w:r w:rsidR="004B09F2">
        <w:rPr>
          <w:rFonts w:asciiTheme="minorHAnsi" w:hAnsiTheme="minorHAnsi" w:cstheme="minorHAnsi"/>
          <w:sz w:val="22"/>
          <w:szCs w:val="22"/>
        </w:rPr>
        <w:t>respecto al mes de Julio 2021; debido principalmente al impacto de la variante Delta del Coronavirus.</w:t>
      </w:r>
    </w:p>
    <w:p w14:paraId="22E077D1" w14:textId="4FB095F1" w:rsidR="00470CF5" w:rsidRDefault="00470CF5" w:rsidP="00AC53F6">
      <w:pPr>
        <w:ind w:left="284"/>
        <w:jc w:val="both"/>
        <w:rPr>
          <w:rFonts w:asciiTheme="minorHAnsi" w:hAnsiTheme="minorHAnsi" w:cstheme="minorHAnsi"/>
          <w:sz w:val="22"/>
          <w:szCs w:val="22"/>
        </w:rPr>
      </w:pPr>
      <w:r w:rsidRPr="00470CF5">
        <w:rPr>
          <w:rFonts w:asciiTheme="minorHAnsi" w:hAnsiTheme="minorHAnsi" w:cstheme="minorHAnsi"/>
          <w:sz w:val="22"/>
          <w:szCs w:val="22"/>
        </w:rPr>
        <w:lastRenderedPageBreak/>
        <w:t>La variante Delta del Coronavirus está ca</w:t>
      </w:r>
      <w:r w:rsidR="00056628">
        <w:rPr>
          <w:rFonts w:asciiTheme="minorHAnsi" w:hAnsiTheme="minorHAnsi" w:cstheme="minorHAnsi"/>
          <w:sz w:val="22"/>
          <w:szCs w:val="22"/>
        </w:rPr>
        <w:t>usando estragos a nivel global</w:t>
      </w:r>
      <w:r w:rsidRPr="00470CF5">
        <w:rPr>
          <w:rFonts w:asciiTheme="minorHAnsi" w:hAnsiTheme="minorHAnsi" w:cstheme="minorHAnsi"/>
          <w:sz w:val="22"/>
          <w:szCs w:val="22"/>
        </w:rPr>
        <w:t xml:space="preserve">, incluso en las dos mayores economías, </w:t>
      </w:r>
      <w:r w:rsidR="00056628">
        <w:rPr>
          <w:rFonts w:asciiTheme="minorHAnsi" w:hAnsiTheme="minorHAnsi" w:cstheme="minorHAnsi"/>
          <w:sz w:val="22"/>
          <w:szCs w:val="22"/>
        </w:rPr>
        <w:t>China y Estados Unidos; retrasando</w:t>
      </w:r>
      <w:r w:rsidRPr="00470CF5">
        <w:rPr>
          <w:rFonts w:asciiTheme="minorHAnsi" w:hAnsiTheme="minorHAnsi" w:cstheme="minorHAnsi"/>
          <w:sz w:val="22"/>
          <w:szCs w:val="22"/>
        </w:rPr>
        <w:t xml:space="preserve"> la reactivación que habían experimentado los precios del petróleo durante la pandemia.</w:t>
      </w:r>
    </w:p>
    <w:p w14:paraId="1F22588B" w14:textId="265C59EE" w:rsidR="00D63047" w:rsidRDefault="00D63047">
      <w:pPr>
        <w:rPr>
          <w:rFonts w:asciiTheme="minorHAnsi" w:hAnsiTheme="minorHAnsi" w:cstheme="minorHAnsi"/>
          <w:sz w:val="22"/>
          <w:szCs w:val="22"/>
        </w:rPr>
      </w:pPr>
    </w:p>
    <w:p w14:paraId="3FF2C478" w14:textId="77777777" w:rsidR="00470CF5" w:rsidRDefault="00470CF5">
      <w:pPr>
        <w:rPr>
          <w:rFonts w:asciiTheme="minorHAnsi" w:hAnsiTheme="minorHAnsi" w:cstheme="minorHAnsi"/>
          <w:sz w:val="22"/>
          <w:szCs w:val="22"/>
        </w:rPr>
      </w:pP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t>GRÁFICA N° 2</w:t>
      </w:r>
      <w:r w:rsidRPr="002B3648">
        <w:rPr>
          <w:rFonts w:asciiTheme="minorHAnsi" w:hAnsiTheme="minorHAnsi" w:cstheme="minorHAnsi"/>
          <w:i/>
          <w:sz w:val="20"/>
          <w:szCs w:val="20"/>
        </w:rPr>
        <w:t>: Precios Relativos de los Combustibles en USGC respecto al WTI</w:t>
      </w:r>
    </w:p>
    <w:p w14:paraId="65292AF6" w14:textId="69FF791B" w:rsidR="00A611A5" w:rsidRPr="002B3648" w:rsidRDefault="001C7B61" w:rsidP="00A611A5">
      <w:pPr>
        <w:pBdr>
          <w:top w:val="single" w:sz="4" w:space="1" w:color="auto"/>
          <w:bottom w:val="single" w:sz="4" w:space="1" w:color="auto"/>
        </w:pBdr>
        <w:ind w:left="426"/>
        <w:jc w:val="both"/>
        <w:rPr>
          <w:rFonts w:asciiTheme="minorHAnsi" w:hAnsiTheme="minorHAnsi" w:cstheme="minorHAnsi"/>
          <w:sz w:val="20"/>
          <w:szCs w:val="20"/>
        </w:rPr>
      </w:pPr>
      <w:r w:rsidRPr="001C7B61">
        <w:rPr>
          <w:noProof/>
          <w:lang w:val="es-PE" w:eastAsia="es-PE"/>
        </w:rPr>
        <w:drawing>
          <wp:inline distT="0" distB="0" distL="0" distR="0" wp14:anchorId="128DFDB0" wp14:editId="3522BF62">
            <wp:extent cx="5189220" cy="32994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9220" cy="3299460"/>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0CEEDB7A" w:rsidR="00F72B85" w:rsidRPr="002B3648" w:rsidRDefault="000D272E" w:rsidP="00222F9D">
            <w:pPr>
              <w:ind w:left="-618" w:right="-654"/>
              <w:jc w:val="center"/>
              <w:rPr>
                <w:rFonts w:asciiTheme="minorHAnsi" w:hAnsiTheme="minorHAnsi" w:cstheme="minorHAnsi"/>
              </w:rPr>
            </w:pPr>
            <w:r w:rsidRPr="000D272E">
              <w:rPr>
                <w:rFonts w:asciiTheme="minorHAnsi" w:hAnsiTheme="minorHAnsi" w:cstheme="minorHAnsi"/>
                <w:noProof/>
                <w:lang w:val="es-PE" w:eastAsia="es-PE"/>
              </w:rPr>
              <w:drawing>
                <wp:inline distT="0" distB="0" distL="0" distR="0" wp14:anchorId="68511362" wp14:editId="68663904">
                  <wp:extent cx="3583172" cy="341425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3247" cy="3423853"/>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A53F01">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00E6A84B" w:rsidR="00712D3B" w:rsidRPr="002B3648" w:rsidRDefault="00A53F01" w:rsidP="004F3957">
            <w:pPr>
              <w:ind w:left="-634" w:right="-654"/>
              <w:jc w:val="center"/>
              <w:rPr>
                <w:rFonts w:asciiTheme="minorHAnsi" w:hAnsiTheme="minorHAnsi" w:cstheme="minorHAnsi"/>
              </w:rPr>
            </w:pPr>
            <w:r>
              <w:rPr>
                <w:noProof/>
                <w:lang w:val="es-PE" w:eastAsia="es-PE"/>
              </w:rPr>
              <w:drawing>
                <wp:inline distT="0" distB="0" distL="0" distR="0" wp14:anchorId="2BD2FAD2" wp14:editId="2FE41FCF">
                  <wp:extent cx="5321935" cy="232853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41347" cy="2337024"/>
                          </a:xfrm>
                          <a:prstGeom prst="rect">
                            <a:avLst/>
                          </a:prstGeom>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5266DF22"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A53F01">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A53F01">
        <w:rPr>
          <w:rFonts w:asciiTheme="minorHAnsi" w:hAnsiTheme="minorHAnsi" w:cstheme="minorHAnsi"/>
          <w:sz w:val="22"/>
          <w:szCs w:val="22"/>
        </w:rPr>
        <w:t>2.01</w:t>
      </w:r>
      <w:r>
        <w:rPr>
          <w:rFonts w:asciiTheme="minorHAnsi" w:hAnsiTheme="minorHAnsi" w:cstheme="minorHAnsi"/>
          <w:sz w:val="22"/>
          <w:szCs w:val="22"/>
        </w:rPr>
        <w:t>%.</w:t>
      </w:r>
    </w:p>
    <w:p w14:paraId="0B0CF897" w14:textId="5CA6F16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EB3F31">
        <w:rPr>
          <w:rFonts w:asciiTheme="minorHAnsi" w:hAnsiTheme="minorHAnsi" w:cstheme="minorHAnsi"/>
          <w:sz w:val="22"/>
          <w:szCs w:val="22"/>
        </w:rPr>
        <w:t>se elevó</w:t>
      </w:r>
      <w:r w:rsidR="006507A3">
        <w:rPr>
          <w:rFonts w:asciiTheme="minorHAnsi" w:hAnsiTheme="minorHAnsi" w:cstheme="minorHAnsi"/>
          <w:sz w:val="22"/>
          <w:szCs w:val="22"/>
        </w:rPr>
        <w:t xml:space="preserve"> </w:t>
      </w:r>
      <w:r w:rsidR="00A53F01">
        <w:rPr>
          <w:rFonts w:asciiTheme="minorHAnsi" w:hAnsiTheme="minorHAnsi" w:cstheme="minorHAnsi"/>
          <w:sz w:val="22"/>
          <w:szCs w:val="22"/>
        </w:rPr>
        <w:t>4.59</w:t>
      </w:r>
      <w:r w:rsidR="006507A3">
        <w:rPr>
          <w:rFonts w:asciiTheme="minorHAnsi" w:hAnsiTheme="minorHAnsi" w:cstheme="minorHAnsi"/>
          <w:sz w:val="22"/>
          <w:szCs w:val="22"/>
        </w:rPr>
        <w:t>%</w:t>
      </w:r>
      <w:r>
        <w:rPr>
          <w:rFonts w:asciiTheme="minorHAnsi" w:hAnsiTheme="minorHAnsi" w:cstheme="minorHAnsi"/>
          <w:sz w:val="22"/>
          <w:szCs w:val="22"/>
        </w:rPr>
        <w:t>.</w:t>
      </w:r>
    </w:p>
    <w:p w14:paraId="0BA97B2C" w14:textId="79C50FDB"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A53F01">
        <w:rPr>
          <w:rFonts w:asciiTheme="minorHAnsi" w:hAnsiTheme="minorHAnsi" w:cstheme="minorHAnsi"/>
          <w:sz w:val="22"/>
          <w:szCs w:val="22"/>
        </w:rPr>
        <w:t>subió 4.23%</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A53F01">
        <w:rPr>
          <w:rFonts w:asciiTheme="minorHAnsi" w:hAnsiTheme="minorHAnsi" w:cstheme="minorHAnsi"/>
          <w:sz w:val="22"/>
          <w:szCs w:val="22"/>
        </w:rPr>
        <w:t>5.63</w:t>
      </w:r>
      <w:r>
        <w:rPr>
          <w:rFonts w:asciiTheme="minorHAnsi" w:hAnsiTheme="minorHAnsi" w:cstheme="minorHAnsi"/>
          <w:sz w:val="22"/>
          <w:szCs w:val="22"/>
        </w:rPr>
        <w:t>%.</w:t>
      </w:r>
    </w:p>
    <w:p w14:paraId="7FE6F0F1" w14:textId="043A5C3D"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6518E1">
        <w:rPr>
          <w:rFonts w:asciiTheme="minorHAnsi" w:hAnsiTheme="minorHAnsi" w:cstheme="minorHAnsi"/>
          <w:sz w:val="22"/>
          <w:szCs w:val="22"/>
        </w:rPr>
        <w:t>aumenta</w:t>
      </w:r>
      <w:r w:rsidR="007345C6">
        <w:rPr>
          <w:rFonts w:asciiTheme="minorHAnsi" w:hAnsiTheme="minorHAnsi" w:cstheme="minorHAnsi"/>
          <w:sz w:val="22"/>
          <w:szCs w:val="22"/>
        </w:rPr>
        <w:t xml:space="preserve">ron </w:t>
      </w:r>
      <w:r w:rsidR="00A53F01">
        <w:rPr>
          <w:rFonts w:asciiTheme="minorHAnsi" w:hAnsiTheme="minorHAnsi" w:cstheme="minorHAnsi"/>
          <w:sz w:val="22"/>
          <w:szCs w:val="22"/>
        </w:rPr>
        <w:t>4.26</w:t>
      </w:r>
      <w:r>
        <w:rPr>
          <w:rFonts w:asciiTheme="minorHAnsi" w:hAnsiTheme="minorHAnsi" w:cstheme="minorHAnsi"/>
          <w:sz w:val="22"/>
          <w:szCs w:val="22"/>
        </w:rPr>
        <w:t>%</w:t>
      </w:r>
      <w:r w:rsidR="006507A3">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29EE0B5E"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A53F01">
        <w:rPr>
          <w:rFonts w:asciiTheme="minorHAnsi" w:hAnsiTheme="minorHAnsi" w:cstheme="minorHAnsi"/>
          <w:sz w:val="22"/>
          <w:szCs w:val="22"/>
        </w:rPr>
        <w:t>disminuy</w:t>
      </w:r>
      <w:r w:rsidR="00561411">
        <w:rPr>
          <w:rFonts w:asciiTheme="minorHAnsi" w:hAnsiTheme="minorHAnsi" w:cstheme="minorHAnsi"/>
          <w:sz w:val="22"/>
          <w:szCs w:val="22"/>
        </w:rPr>
        <w:t>ó</w:t>
      </w:r>
      <w:r w:rsidR="006507A3">
        <w:rPr>
          <w:rFonts w:asciiTheme="minorHAnsi" w:hAnsiTheme="minorHAnsi" w:cstheme="minorHAnsi"/>
          <w:sz w:val="22"/>
          <w:szCs w:val="22"/>
        </w:rPr>
        <w:t xml:space="preserve"> </w:t>
      </w:r>
      <w:r w:rsidR="00A53F01">
        <w:rPr>
          <w:rFonts w:asciiTheme="minorHAnsi" w:hAnsiTheme="minorHAnsi" w:cstheme="minorHAnsi"/>
          <w:sz w:val="22"/>
          <w:szCs w:val="22"/>
        </w:rPr>
        <w:t>0.66</w:t>
      </w:r>
      <w:r w:rsidR="006507A3">
        <w:rPr>
          <w:rFonts w:asciiTheme="minorHAnsi" w:hAnsiTheme="minorHAnsi" w:cstheme="minorHAnsi"/>
          <w:sz w:val="22"/>
          <w:szCs w:val="22"/>
        </w:rPr>
        <w:t>%</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EB3F31">
        <w:rPr>
          <w:rFonts w:asciiTheme="minorHAnsi" w:hAnsiTheme="minorHAnsi" w:cstheme="minorHAnsi"/>
          <w:sz w:val="22"/>
          <w:szCs w:val="22"/>
        </w:rPr>
        <w:t>subió</w:t>
      </w:r>
      <w:r>
        <w:rPr>
          <w:rFonts w:asciiTheme="minorHAnsi" w:hAnsiTheme="minorHAnsi" w:cstheme="minorHAnsi"/>
          <w:sz w:val="22"/>
          <w:szCs w:val="22"/>
        </w:rPr>
        <w:t xml:space="preserve"> </w:t>
      </w:r>
      <w:r w:rsidR="00A53F01">
        <w:rPr>
          <w:rFonts w:asciiTheme="minorHAnsi" w:hAnsiTheme="minorHAnsi" w:cstheme="minorHAnsi"/>
          <w:sz w:val="22"/>
          <w:szCs w:val="22"/>
        </w:rPr>
        <w:t>1.20</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4470F995"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w:t>
      </w:r>
      <w:r w:rsidR="0023355E">
        <w:rPr>
          <w:rFonts w:asciiTheme="minorHAnsi" w:hAnsiTheme="minorHAnsi" w:cstheme="minorHAnsi"/>
          <w:sz w:val="22"/>
          <w:szCs w:val="22"/>
        </w:rPr>
        <w:t>o</w:t>
      </w:r>
      <w:proofErr w:type="spellEnd"/>
      <w:r w:rsidR="00C67134">
        <w:rPr>
          <w:rFonts w:asciiTheme="minorHAnsi" w:hAnsiTheme="minorHAnsi" w:cstheme="minorHAnsi"/>
          <w:sz w:val="22"/>
          <w:szCs w:val="22"/>
        </w:rPr>
        <w:t xml:space="preserve"> para el Diésel</w:t>
      </w:r>
      <w:r w:rsidR="0023355E">
        <w:rPr>
          <w:rFonts w:asciiTheme="minorHAnsi" w:hAnsiTheme="minorHAnsi" w:cstheme="minorHAnsi"/>
          <w:sz w:val="22"/>
          <w:szCs w:val="22"/>
        </w:rPr>
        <w:t xml:space="preserve">, el cual es de </w:t>
      </w:r>
      <w:r w:rsidRPr="002B3648">
        <w:rPr>
          <w:rFonts w:asciiTheme="minorHAnsi" w:hAnsiTheme="minorHAnsi" w:cstheme="minorHAnsi"/>
          <w:sz w:val="22"/>
          <w:szCs w:val="22"/>
        </w:rPr>
        <w:t>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07738DB7" w:rsidR="004F74EE" w:rsidRDefault="00014608" w:rsidP="004F74EE">
      <w:pPr>
        <w:pBdr>
          <w:top w:val="single" w:sz="4" w:space="1" w:color="auto"/>
          <w:bottom w:val="single" w:sz="4" w:space="1" w:color="auto"/>
        </w:pBdr>
        <w:jc w:val="center"/>
        <w:rPr>
          <w:rFonts w:ascii="Calibri" w:hAnsi="Calibri" w:cs="Calibri"/>
          <w:sz w:val="22"/>
          <w:szCs w:val="22"/>
          <w:lang w:val="es-PE" w:eastAsia="en-US"/>
        </w:rPr>
      </w:pPr>
      <w:r w:rsidRPr="00014608">
        <w:rPr>
          <w:noProof/>
          <w:lang w:val="es-PE" w:eastAsia="es-PE"/>
        </w:rPr>
        <w:drawing>
          <wp:inline distT="0" distB="0" distL="0" distR="0" wp14:anchorId="514EB942" wp14:editId="59C34C1C">
            <wp:extent cx="8173085" cy="29914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1CAF2CE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3DD61C18" w:rsidR="000A6BC2" w:rsidRPr="00737F8F" w:rsidRDefault="00014608"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014608">
        <w:rPr>
          <w:noProof/>
          <w:lang w:val="es-PE" w:eastAsia="es-PE"/>
        </w:rPr>
        <w:drawing>
          <wp:inline distT="0" distB="0" distL="0" distR="0" wp14:anchorId="285569DA" wp14:editId="78D19D49">
            <wp:extent cx="5688419" cy="242443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1892" cy="242591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262AF8C7" w:rsidR="005C4A97" w:rsidRDefault="00014608" w:rsidP="008360C7">
      <w:pPr>
        <w:spacing w:line="0" w:lineRule="atLeast"/>
        <w:ind w:left="284" w:right="-567"/>
        <w:jc w:val="both"/>
        <w:rPr>
          <w:rFonts w:asciiTheme="minorHAnsi" w:hAnsiTheme="minorHAnsi" w:cstheme="minorHAnsi"/>
          <w:i/>
          <w:sz w:val="18"/>
          <w:szCs w:val="18"/>
        </w:rPr>
      </w:pPr>
      <w:r w:rsidRPr="00014608">
        <w:rPr>
          <w:noProof/>
          <w:lang w:val="es-PE" w:eastAsia="es-PE"/>
        </w:rPr>
        <w:drawing>
          <wp:inline distT="0" distB="0" distL="0" distR="0" wp14:anchorId="5996B9CA" wp14:editId="0383B7DD">
            <wp:extent cx="5932968" cy="2243455"/>
            <wp:effectExtent l="0" t="0" r="0" b="4445"/>
            <wp:docPr id="27" name="Picture 2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Graphical user interface, application&#10;&#10;Description automatically generated"/>
                    <pic:cNvPicPr/>
                  </pic:nvPicPr>
                  <pic:blipFill>
                    <a:blip r:embed="rId19"/>
                    <a:stretch>
                      <a:fillRect/>
                    </a:stretch>
                  </pic:blipFill>
                  <pic:spPr>
                    <a:xfrm>
                      <a:off x="0" y="0"/>
                      <a:ext cx="5942289" cy="2246980"/>
                    </a:xfrm>
                    <a:prstGeom prst="rect">
                      <a:avLst/>
                    </a:prstGeom>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6FFCBA25" w:rsidR="007B04A3" w:rsidRDefault="00014608" w:rsidP="00E87904">
      <w:pPr>
        <w:ind w:left="-284"/>
        <w:rPr>
          <w:rFonts w:asciiTheme="minorHAnsi" w:hAnsiTheme="minorHAnsi" w:cstheme="minorHAnsi"/>
          <w:i/>
          <w:sz w:val="18"/>
          <w:szCs w:val="18"/>
        </w:rPr>
      </w:pPr>
      <w:r w:rsidRPr="00014608">
        <w:rPr>
          <w:noProof/>
          <w:lang w:val="es-PE" w:eastAsia="es-PE"/>
        </w:rPr>
        <w:drawing>
          <wp:inline distT="0" distB="0" distL="0" distR="0" wp14:anchorId="0BBCD64C" wp14:editId="2771176D">
            <wp:extent cx="5850255" cy="5478162"/>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50756" cy="5478631"/>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5E1BD019" w:rsidR="00496869" w:rsidRDefault="00496869" w:rsidP="00496869">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6C0B4039" w14:textId="49ADBFAB" w:rsidR="00214BFB" w:rsidRDefault="00214BFB" w:rsidP="00496869">
      <w:pPr>
        <w:pStyle w:val="xl37"/>
        <w:tabs>
          <w:tab w:val="left" w:pos="180"/>
        </w:tabs>
        <w:spacing w:before="0" w:beforeAutospacing="0" w:after="0" w:afterAutospacing="0"/>
        <w:rPr>
          <w:rFonts w:ascii="Calibri" w:eastAsia="Calibri" w:hAnsi="Calibri"/>
          <w:i/>
          <w:iCs/>
          <w:sz w:val="18"/>
          <w:szCs w:val="18"/>
        </w:rPr>
      </w:pPr>
    </w:p>
    <w:p w14:paraId="299EEE93" w14:textId="5CD132E4" w:rsidR="00214BFB" w:rsidRDefault="00214BFB">
      <w:pPr>
        <w:rPr>
          <w:rFonts w:ascii="Calibri" w:eastAsia="Calibri" w:hAnsi="Calibri" w:cs="Arial"/>
          <w:b/>
          <w:bCs/>
          <w:i/>
          <w:iCs/>
          <w:sz w:val="18"/>
          <w:szCs w:val="18"/>
        </w:rPr>
      </w:pPr>
      <w:r>
        <w:rPr>
          <w:rFonts w:ascii="Calibri" w:eastAsia="Calibri" w:hAnsi="Calibri"/>
          <w:i/>
          <w:iCs/>
          <w:sz w:val="18"/>
          <w:szCs w:val="18"/>
        </w:rPr>
        <w:br w:type="page"/>
      </w:r>
    </w:p>
    <w:p w14:paraId="59B0E35C" w14:textId="5F429CE4" w:rsidR="00214BFB" w:rsidRPr="00496869" w:rsidRDefault="00214BFB"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N°2</w:t>
      </w:r>
      <w:r w:rsidR="009D445C">
        <w:rPr>
          <w:rStyle w:val="Refdenotaalpie"/>
          <w:rFonts w:asciiTheme="minorHAnsi" w:eastAsia="Times New Roman" w:hAnsiTheme="minorHAnsi" w:cstheme="minorHAnsi"/>
          <w:bCs w:val="0"/>
          <w:iCs/>
          <w:sz w:val="24"/>
          <w:szCs w:val="24"/>
          <w:u w:val="single"/>
        </w:rPr>
        <w:footnoteReference w:id="4"/>
      </w:r>
    </w:p>
    <w:p w14:paraId="158999A5" w14:textId="77777777" w:rsidR="00214BFB" w:rsidRDefault="00214BFB" w:rsidP="00214BFB">
      <w:pPr>
        <w:jc w:val="both"/>
        <w:rPr>
          <w:rFonts w:asciiTheme="minorHAnsi" w:hAnsiTheme="minorHAnsi" w:cstheme="minorHAnsi"/>
          <w:sz w:val="22"/>
          <w:szCs w:val="22"/>
        </w:rPr>
      </w:pPr>
    </w:p>
    <w:p w14:paraId="2CD8C96C" w14:textId="3AE751DA" w:rsidR="00214BFB" w:rsidRDefault="0065731B" w:rsidP="00214BFB">
      <w:pPr>
        <w:jc w:val="center"/>
        <w:rPr>
          <w:rFonts w:asciiTheme="minorHAnsi" w:hAnsiTheme="minorHAnsi" w:cstheme="minorHAnsi"/>
          <w:sz w:val="22"/>
          <w:szCs w:val="22"/>
        </w:rPr>
      </w:pPr>
      <w:r>
        <w:rPr>
          <w:noProof/>
          <w:lang w:val="es-PE" w:eastAsia="es-PE"/>
        </w:rPr>
        <w:drawing>
          <wp:inline distT="0" distB="0" distL="0" distR="0" wp14:anchorId="66CBFBA1" wp14:editId="4184A4CF">
            <wp:extent cx="4636990" cy="2475779"/>
            <wp:effectExtent l="19050" t="19050" r="11430" b="20320"/>
            <wp:docPr id="4" name="Picture 4"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1377" cy="2504817"/>
                    </a:xfrm>
                    <a:prstGeom prst="rect">
                      <a:avLst/>
                    </a:prstGeom>
                    <a:noFill/>
                    <a:ln>
                      <a:solidFill>
                        <a:schemeClr val="accent1"/>
                      </a:solidFill>
                    </a:ln>
                  </pic:spPr>
                </pic:pic>
              </a:graphicData>
            </a:graphic>
          </wp:inline>
        </w:drawing>
      </w:r>
    </w:p>
    <w:p w14:paraId="60CAAFB3" w14:textId="77777777" w:rsidR="009D445C" w:rsidRDefault="009D445C" w:rsidP="00214BFB">
      <w:pPr>
        <w:jc w:val="center"/>
        <w:rPr>
          <w:rFonts w:asciiTheme="minorHAnsi" w:hAnsiTheme="minorHAnsi" w:cstheme="minorHAnsi"/>
          <w:sz w:val="22"/>
          <w:szCs w:val="22"/>
        </w:rPr>
      </w:pPr>
    </w:p>
    <w:p w14:paraId="13B4047C" w14:textId="7BEAB17F" w:rsidR="00214BFB" w:rsidRPr="00D16EC8" w:rsidRDefault="0065731B" w:rsidP="00214BFB">
      <w:pPr>
        <w:jc w:val="center"/>
        <w:rPr>
          <w:rFonts w:asciiTheme="minorHAnsi" w:hAnsiTheme="minorHAnsi" w:cstheme="minorHAnsi"/>
          <w:sz w:val="22"/>
          <w:szCs w:val="22"/>
        </w:rPr>
      </w:pPr>
      <w:r>
        <w:rPr>
          <w:noProof/>
          <w:lang w:val="es-PE" w:eastAsia="es-PE"/>
        </w:rPr>
        <w:drawing>
          <wp:inline distT="0" distB="0" distL="0" distR="0" wp14:anchorId="0A454289" wp14:editId="3537907D">
            <wp:extent cx="4646295" cy="2480747"/>
            <wp:effectExtent l="19050" t="19050" r="20955" b="15240"/>
            <wp:docPr id="6" name="Picture 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70556" cy="2493700"/>
                    </a:xfrm>
                    <a:prstGeom prst="rect">
                      <a:avLst/>
                    </a:prstGeom>
                    <a:noFill/>
                    <a:ln>
                      <a:solidFill>
                        <a:schemeClr val="accent1"/>
                      </a:solidFill>
                    </a:ln>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34FAC901" w14:textId="23898A0D" w:rsidR="009D445C" w:rsidRPr="002B3648" w:rsidRDefault="0065731B" w:rsidP="000423EB">
      <w:pPr>
        <w:ind w:left="993"/>
        <w:jc w:val="both"/>
        <w:rPr>
          <w:rFonts w:asciiTheme="minorHAnsi" w:hAnsiTheme="minorHAnsi" w:cstheme="minorHAnsi"/>
          <w:b/>
          <w:bCs/>
          <w:i/>
          <w:iCs/>
          <w:sz w:val="16"/>
          <w:szCs w:val="16"/>
        </w:rPr>
      </w:pPr>
      <w:r>
        <w:rPr>
          <w:noProof/>
          <w:lang w:val="es-PE" w:eastAsia="es-PE"/>
        </w:rPr>
        <w:drawing>
          <wp:inline distT="0" distB="0" distL="0" distR="0" wp14:anchorId="534D20C6" wp14:editId="3B280602">
            <wp:extent cx="4568190" cy="2439046"/>
            <wp:effectExtent l="19050" t="19050" r="22860" b="18415"/>
            <wp:docPr id="8" name="Picture 8"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5374" cy="2448221"/>
                    </a:xfrm>
                    <a:prstGeom prst="rect">
                      <a:avLst/>
                    </a:prstGeom>
                    <a:noFill/>
                    <a:ln>
                      <a:solidFill>
                        <a:schemeClr val="accent1"/>
                      </a:solidFill>
                    </a:ln>
                  </pic:spPr>
                </pic:pic>
              </a:graphicData>
            </a:graphic>
          </wp:inline>
        </w:drawing>
      </w:r>
    </w:p>
    <w:sectPr w:rsidR="009D445C" w:rsidRPr="002B3648" w:rsidSect="00DB3C4F">
      <w:headerReference w:type="default" r:id="rId29"/>
      <w:footerReference w:type="default" r:id="rId30"/>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6AACA" w14:textId="77777777" w:rsidR="00206364" w:rsidRDefault="00206364" w:rsidP="006502B5">
      <w:r>
        <w:separator/>
      </w:r>
    </w:p>
  </w:endnote>
  <w:endnote w:type="continuationSeparator" w:id="0">
    <w:p w14:paraId="5951C589" w14:textId="77777777" w:rsidR="00206364" w:rsidRDefault="00206364"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40C32" w14:textId="77777777" w:rsidR="00206364" w:rsidRDefault="00206364" w:rsidP="006502B5">
      <w:r>
        <w:separator/>
      </w:r>
    </w:p>
  </w:footnote>
  <w:footnote w:type="continuationSeparator" w:id="0">
    <w:p w14:paraId="4DB19B51" w14:textId="77777777" w:rsidR="00206364" w:rsidRDefault="00206364"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w:t>
      </w:r>
      <w:proofErr w:type="spellStart"/>
      <w:r w:rsidR="00BC79DF" w:rsidRPr="003D59FF">
        <w:rPr>
          <w:rFonts w:asciiTheme="minorHAnsi" w:hAnsiTheme="minorHAnsi" w:cstheme="minorHAnsi"/>
          <w:i/>
          <w:sz w:val="16"/>
          <w:szCs w:val="16"/>
          <w:lang w:val="en-US"/>
        </w:rPr>
        <w:t>otros</w:t>
      </w:r>
      <w:proofErr w:type="spellEnd"/>
      <w:r w:rsidR="00BC79DF" w:rsidRPr="003D59FF">
        <w:rPr>
          <w:rFonts w:asciiTheme="minorHAnsi" w:hAnsiTheme="minorHAnsi" w:cstheme="minorHAnsi"/>
          <w:i/>
          <w:sz w:val="16"/>
          <w:szCs w:val="16"/>
          <w:lang w:val="en-US"/>
        </w:rPr>
        <w:t>.</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 xml:space="preserve">Conventional </w:t>
      </w:r>
      <w:proofErr w:type="spellStart"/>
      <w:r w:rsidR="00F608D1" w:rsidRPr="00EA7960">
        <w:rPr>
          <w:rFonts w:asciiTheme="minorHAnsi" w:hAnsiTheme="minorHAnsi" w:cstheme="minorHAnsi"/>
          <w:bCs/>
          <w:i/>
          <w:sz w:val="16"/>
          <w:szCs w:val="16"/>
          <w:lang w:val="en-US"/>
        </w:rPr>
        <w:t>Blendstock</w:t>
      </w:r>
      <w:proofErr w:type="spellEnd"/>
      <w:r w:rsidR="00F608D1" w:rsidRPr="00EA7960">
        <w:rPr>
          <w:rFonts w:asciiTheme="minorHAnsi" w:hAnsiTheme="minorHAnsi" w:cstheme="minorHAnsi"/>
          <w:bCs/>
          <w:i/>
          <w:sz w:val="16"/>
          <w:szCs w:val="16"/>
          <w:lang w:val="en-US"/>
        </w:rPr>
        <w:t xml:space="preserve">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 w:id="4">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2C4057B4" w:rsidR="00FF1622" w:rsidRPr="002E3C90" w:rsidRDefault="00FF1622" w:rsidP="00FF1622">
    <w:pPr>
      <w:pStyle w:val="Encabezado"/>
      <w:tabs>
        <w:tab w:val="clear" w:pos="8838"/>
        <w:tab w:val="right" w:pos="8646"/>
      </w:tabs>
      <w:ind w:left="-1418"/>
    </w:pPr>
    <w:bookmarkStart w:id="1" w:name="_Hlk68946101"/>
    <w:bookmarkStart w:id="2" w:name="_Hlk68946102"/>
    <w:r>
      <w:rPr>
        <w:noProof/>
        <w:lang w:val="es-PE" w:eastAsia="es-PE"/>
      </w:rPr>
      <w:t xml:space="preserve">        </w:t>
    </w:r>
    <w:r w:rsidRPr="0087334C">
      <w:rPr>
        <w:noProof/>
        <w:lang w:val="es-PE" w:eastAsia="es-PE"/>
      </w:rPr>
      <w:drawing>
        <wp:inline distT="0" distB="0" distL="0" distR="0" wp14:anchorId="19C91153" wp14:editId="51AA525A">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Pr="005D70E5">
      <w:rPr>
        <w:noProof/>
        <w:lang w:val="es-PE" w:eastAsia="es-PE"/>
      </w:rPr>
      <w:drawing>
        <wp:inline distT="0" distB="0" distL="0" distR="0" wp14:anchorId="0E261F30" wp14:editId="67873BC4">
          <wp:extent cx="903605" cy="654627"/>
          <wp:effectExtent l="0" t="0" r="0" b="0"/>
          <wp:docPr id="1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75ABDF21" w14:textId="5E529A8D" w:rsidR="004F74EE" w:rsidRPr="002D26F8" w:rsidRDefault="003109CE" w:rsidP="00376371">
    <w:pPr>
      <w:tabs>
        <w:tab w:val="center" w:pos="4320"/>
        <w:tab w:val="right" w:pos="8640"/>
      </w:tabs>
      <w:ind w:right="-284"/>
      <w:jc w:val="right"/>
      <w:rPr>
        <w:rFonts w:ascii="Arial" w:hAnsi="Arial" w:cs="Arial"/>
        <w:b/>
        <w:color w:val="44546A"/>
        <w:sz w:val="22"/>
        <w:szCs w:val="22"/>
        <w:lang w:val="x-none"/>
      </w:rPr>
    </w:pPr>
    <w:r>
      <w:rPr>
        <w:rFonts w:ascii="Arial" w:hAnsi="Arial" w:cs="Arial"/>
        <w:b/>
        <w:color w:val="44546A"/>
        <w:sz w:val="22"/>
        <w:szCs w:val="22"/>
        <w:lang w:val="es-MX"/>
      </w:rPr>
      <w:t>00</w:t>
    </w:r>
    <w:r w:rsidR="004F74EE" w:rsidRPr="002D26F8">
      <w:rPr>
        <w:rFonts w:ascii="Arial" w:hAnsi="Arial" w:cs="Arial"/>
        <w:b/>
        <w:color w:val="44546A"/>
        <w:sz w:val="22"/>
        <w:szCs w:val="22"/>
        <w:lang w:val="x-none"/>
      </w:rPr>
      <w:fldChar w:fldCharType="begin"/>
    </w:r>
    <w:r w:rsidR="004F74EE" w:rsidRPr="002D26F8">
      <w:rPr>
        <w:rFonts w:ascii="Arial" w:hAnsi="Arial" w:cs="Arial"/>
        <w:b/>
        <w:color w:val="44546A"/>
        <w:sz w:val="22"/>
        <w:szCs w:val="22"/>
        <w:lang w:val="x-none"/>
      </w:rPr>
      <w:instrText>PAGE   \* MERGEFORMAT</w:instrText>
    </w:r>
    <w:r w:rsidR="004F74EE" w:rsidRPr="002D26F8">
      <w:rPr>
        <w:rFonts w:ascii="Arial" w:hAnsi="Arial" w:cs="Arial"/>
        <w:b/>
        <w:color w:val="44546A"/>
        <w:sz w:val="22"/>
        <w:szCs w:val="22"/>
        <w:lang w:val="x-none"/>
      </w:rPr>
      <w:fldChar w:fldCharType="separate"/>
    </w:r>
    <w:r w:rsidR="00446763">
      <w:rPr>
        <w:rFonts w:ascii="Arial" w:hAnsi="Arial" w:cs="Arial"/>
        <w:b/>
        <w:noProof/>
        <w:color w:val="44546A"/>
        <w:sz w:val="22"/>
        <w:szCs w:val="22"/>
        <w:lang w:val="x-none"/>
      </w:rPr>
      <w:t>6</w:t>
    </w:r>
    <w:r w:rsidR="004F74EE"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bookmarkEnd w:id="1"/>
  <w:bookmarkEnd w:id="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0B274B56"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446763">
      <w:rPr>
        <w:rFonts w:ascii="Arial" w:hAnsi="Arial" w:cs="Arial"/>
        <w:b/>
        <w:noProof/>
        <w:color w:val="1F497D"/>
        <w:lang w:val="en-US"/>
      </w:rPr>
      <w:t>11</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DA6E5F"/>
    <w:multiLevelType w:val="hybridMultilevel"/>
    <w:tmpl w:val="1786F364"/>
    <w:lvl w:ilvl="0" w:tplc="280A0001">
      <w:start w:val="1"/>
      <w:numFmt w:val="bullet"/>
      <w:lvlText w:val=""/>
      <w:lvlJc w:val="left"/>
      <w:pPr>
        <w:ind w:left="1069" w:hanging="360"/>
      </w:pPr>
      <w:rPr>
        <w:rFonts w:ascii="Symbol" w:hAnsi="Symbol"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7"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7"/>
  </w:num>
  <w:num w:numId="6">
    <w:abstractNumId w:val="15"/>
  </w:num>
  <w:num w:numId="7">
    <w:abstractNumId w:val="14"/>
  </w:num>
  <w:num w:numId="8">
    <w:abstractNumId w:val="5"/>
  </w:num>
  <w:num w:numId="9">
    <w:abstractNumId w:val="17"/>
  </w:num>
  <w:num w:numId="10">
    <w:abstractNumId w:val="26"/>
  </w:num>
  <w:num w:numId="11">
    <w:abstractNumId w:val="29"/>
  </w:num>
  <w:num w:numId="12">
    <w:abstractNumId w:val="7"/>
  </w:num>
  <w:num w:numId="13">
    <w:abstractNumId w:val="29"/>
  </w:num>
  <w:num w:numId="14">
    <w:abstractNumId w:val="7"/>
  </w:num>
  <w:num w:numId="15">
    <w:abstractNumId w:val="9"/>
  </w:num>
  <w:num w:numId="16">
    <w:abstractNumId w:val="8"/>
  </w:num>
  <w:num w:numId="17">
    <w:abstractNumId w:val="2"/>
  </w:num>
  <w:num w:numId="18">
    <w:abstractNumId w:val="10"/>
  </w:num>
  <w:num w:numId="19">
    <w:abstractNumId w:val="18"/>
  </w:num>
  <w:num w:numId="20">
    <w:abstractNumId w:val="0"/>
  </w:num>
  <w:num w:numId="21">
    <w:abstractNumId w:val="24"/>
  </w:num>
  <w:num w:numId="22">
    <w:abstractNumId w:val="22"/>
  </w:num>
  <w:num w:numId="23">
    <w:abstractNumId w:val="23"/>
  </w:num>
  <w:num w:numId="24">
    <w:abstractNumId w:val="13"/>
  </w:num>
  <w:num w:numId="25">
    <w:abstractNumId w:val="25"/>
  </w:num>
  <w:num w:numId="26">
    <w:abstractNumId w:val="6"/>
  </w:num>
  <w:num w:numId="27">
    <w:abstractNumId w:val="21"/>
  </w:num>
  <w:num w:numId="28">
    <w:abstractNumId w:val="20"/>
  </w:num>
  <w:num w:numId="29">
    <w:abstractNumId w:val="19"/>
  </w:num>
  <w:num w:numId="30">
    <w:abstractNumId w:val="4"/>
  </w:num>
  <w:num w:numId="31">
    <w:abstractNumId w:val="28"/>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72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76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9F2"/>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32A"/>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611"/>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image" Target="media/image15.gif"/><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diagramColors" Target="diagrams/colors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image" Target="media/image17.gif"/><Relationship Id="rId10" Type="http://schemas.openxmlformats.org/officeDocument/2006/relationships/image" Target="media/image3.emf"/><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image" Target="media/image16.gif"/><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6D59-0E7A-4E76-A9BF-7F88C516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1705</Words>
  <Characters>9382</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2021-09-08T11:32:00Z</dcterms:created>
  <dcterms:modified xsi:type="dcterms:W3CDTF">2021-09-08T11:32:00Z</dcterms:modified>
</cp:coreProperties>
</file>